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left"/>
      </w:pPr>
      <w:r>
        <w:drawing>
          <wp:inline xmlns:a="http://schemas.openxmlformats.org/drawingml/2006/main" xmlns:pic="http://schemas.openxmlformats.org/drawingml/2006/picture">
            <wp:extent cx="2124000" cy="724670"/>
            <wp:docPr id="1" name="Picture 1"/>
            <wp:cNvGraphicFramePr>
              <a:graphicFrameLocks noChangeAspect="1"/>
            </wp:cNvGraphicFramePr>
            <a:graphic>
              <a:graphicData uri="http://schemas.openxmlformats.org/drawingml/2006/picture">
                <pic:pic>
                  <pic:nvPicPr>
                    <pic:cNvPr id="0" name="mea-logo.png"/>
                    <pic:cNvPicPr/>
                  </pic:nvPicPr>
                  <pic:blipFill>
                    <a:blip r:embed="rId11"/>
                    <a:stretch>
                      <a:fillRect/>
                    </a:stretch>
                  </pic:blipFill>
                  <pic:spPr>
                    <a:xfrm>
                      <a:off x="0" y="0"/>
                      <a:ext cx="2124000" cy="724670"/>
                    </a:xfrm>
                    <a:prstGeom prst="rect"/>
                  </pic:spPr>
                </pic:pic>
              </a:graphicData>
            </a:graphic>
          </wp:inline>
        </w:drawing>
      </w:r>
    </w:p>
    <w:p>
      <w:pPr>
        <w:spacing w:after="240"/>
        <w:jc w:val="left"/>
      </w:pPr>
      <w:r>
        <w:rPr>
          <w:color w:val="95969B"/>
          <w:sz w:val="15"/>
        </w:rPr>
        <w:t>Bolton — 108–110 Deansgate, BL1 1BD   ·   Liverpool — Moffat House, 22 Pall Mall, L3 6AL   ·   T: 0800 500 3015   ·   mistoriagroup.com</w:t>
      </w:r>
    </w:p>
    <w:p>
      <w:pPr>
        <w:spacing w:after="40"/>
        <w:jc w:val="left"/>
      </w:pPr>
      <w:r>
        <w:rPr>
          <w:b/>
          <w:color w:val="EF7601"/>
          <w:sz w:val="38"/>
        </w:rPr>
        <w:t>HOLDING DEPOSIT AGREEMENT</w:t>
      </w:r>
    </w:p>
    <w:p>
      <w:pPr>
        <w:spacing w:after="40"/>
      </w:pPr>
      <w:r>
        <w:rPr>
          <w:b/>
          <w:color w:val="3A3A3C"/>
          <w:sz w:val="24"/>
        </w:rPr>
        <w:t>Mistoria Estate Agents</w:t>
      </w:r>
    </w:p>
    <w:p>
      <w:pPr>
        <w:spacing w:after="240"/>
      </w:pPr>
      <w:r>
        <w:rPr>
          <w:color w:val="95969B"/>
          <w:sz w:val="18"/>
        </w:rPr>
        <w:t>MEA-LET-HD-01 · Version 1.1 · 15/09/2026</w:t>
      </w:r>
    </w:p>
    <w:p>
      <w:pPr>
        <w:spacing w:after="200"/>
        <w:pBdr>
          <w:bottom w:val="single" w:sz="12" w:space="1" w:color="EF7601"/>
        </w:pBdr>
      </w:pPr>
    </w:p>
    <w:tbl>
      <w:tblPr>
        <w:tblW w:type="auto" w:w="0"/>
        <w:jc w:val="center"/>
        <w:tblLayout w:type="fixed"/>
        <w:tblLook w:firstColumn="1" w:firstRow="1" w:lastColumn="0" w:lastRow="0" w:noHBand="0" w:noVBand="1" w:val="04A0"/>
      </w:tblPr>
      <w:tblGrid>
        <w:gridCol w:w="2154"/>
        <w:gridCol w:w="7257"/>
      </w:tblGrid>
      <w:tr>
        <w:tc>
          <w:tcPr>
            <w:tcW w:type="dxa" w:w="2154"/>
            <w:shd w:val="clear" w:color="auto" w:fill="EF7601"/>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jc w:val="left"/>
            </w:pPr>
            <w:r>
              <w:rPr>
                <w:b/>
                <w:color w:val="FFFFFF"/>
                <w:sz w:val="19"/>
              </w:rPr>
              <w:t>Field</w:t>
            </w:r>
          </w:p>
        </w:tc>
        <w:tc>
          <w:tcPr>
            <w:tcW w:type="dxa" w:w="7257"/>
            <w:shd w:val="clear" w:color="auto" w:fill="EF7601"/>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jc w:val="left"/>
            </w:pPr>
            <w:r>
              <w:rPr>
                <w:b/>
                <w:color w:val="FFFFFF"/>
                <w:sz w:val="19"/>
              </w:rPr>
              <w:t>Detail</w:t>
            </w:r>
          </w:p>
        </w:tc>
      </w:tr>
      <w:tr>
        <w:tc>
          <w:tcPr>
            <w:tcW w:type="dxa" w:w="2154"/>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Document reference</w:t>
            </w:r>
          </w:p>
        </w:tc>
        <w:tc>
          <w:tcPr>
            <w:tcW w:type="dxa" w:w="7257"/>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MEA-LET-HD-01</w:t>
            </w:r>
          </w:p>
        </w:tc>
      </w:tr>
      <w:tr>
        <w:tc>
          <w:tcPr>
            <w:tcW w:type="dxa" w:w="2154"/>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Version</w:t>
            </w:r>
          </w:p>
        </w:tc>
        <w:tc>
          <w:tcPr>
            <w:tcW w:type="dxa" w:w="7257"/>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v1.1 — supersedes v1.0 DRAFT</w:t>
            </w:r>
          </w:p>
        </w:tc>
      </w:tr>
      <w:tr>
        <w:tc>
          <w:tcPr>
            <w:tcW w:type="dxa" w:w="2154"/>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Status</w:t>
            </w:r>
          </w:p>
        </w:tc>
        <w:tc>
          <w:tcPr>
            <w:tcW w:type="dxa" w:w="7257"/>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Interim — pending Nick Jackson legal sign-off and Propertymark (Lucy Wymer) external verification</w:t>
            </w:r>
          </w:p>
        </w:tc>
      </w:tr>
      <w:tr>
        <w:tc>
          <w:tcPr>
            <w:tcW w:type="dxa" w:w="2154"/>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Owner</w:t>
            </w:r>
          </w:p>
        </w:tc>
        <w:tc>
          <w:tcPr>
            <w:tcW w:type="dxa" w:w="7257"/>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Mish Liyanage, CEO</w:t>
            </w:r>
          </w:p>
        </w:tc>
      </w:tr>
      <w:tr>
        <w:tc>
          <w:tcPr>
            <w:tcW w:type="dxa" w:w="2154"/>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Applies to</w:t>
            </w:r>
          </w:p>
        </w:tc>
        <w:tc>
          <w:tcPr>
            <w:tcW w:type="dxa" w:w="7257"/>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All residential lettings handled by Mistoria Estate Agents — single household and whole-property lets</w:t>
            </w:r>
          </w:p>
        </w:tc>
      </w:tr>
      <w:tr>
        <w:tc>
          <w:tcPr>
            <w:tcW w:type="dxa" w:w="2154"/>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Governed by</w:t>
            </w:r>
          </w:p>
        </w:tc>
        <w:tc>
          <w:tcPr>
            <w:tcW w:type="dxa" w:w="7257"/>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Holding Deposit Policy MHS-LET-HD-POL-01 v1.0 (group policy) ⚖ group document reference to be assigned</w:t>
            </w:r>
          </w:p>
        </w:tc>
      </w:tr>
      <w:tr>
        <w:tc>
          <w:tcPr>
            <w:tcW w:type="dxa" w:w="2154"/>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Legal basis</w:t>
            </w:r>
          </w:p>
        </w:tc>
        <w:tc>
          <w:tcPr>
            <w:tcW w:type="dxa" w:w="7257"/>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Tenant Fees Act 2019, Schedule 1 (permitted holding deposit) and Schedule 2 (treatment, retention and repayment)</w:t>
            </w:r>
          </w:p>
        </w:tc>
      </w:tr>
      <w:tr>
        <w:tc>
          <w:tcPr>
            <w:tcW w:type="dxa" w:w="2154"/>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Change from v1.0</w:t>
            </w:r>
          </w:p>
        </w:tc>
        <w:tc>
          <w:tcPr>
            <w:tcW w:type="dxa" w:w="7257"/>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Section 5 Outcome A and the Section 8 declaration amended so that the holding deposit is credited to the first month’s rent only. The alternative of crediting it to the tenancy deposit is removed (CEO direction, 04/09/2026). New Section 6 sets out what is payable at move-in.</w:t>
            </w:r>
          </w:p>
        </w:tc>
      </w:tr>
    </w:tbl>
    <w:p>
      <w:pPr>
        <w:spacing w:after="40"/>
      </w:pPr>
    </w:p>
    <w:tbl>
      <w:tblPr>
        <w:tblW w:type="auto" w:w="0"/>
        <w:jc w:val="center"/>
        <w:tblLook w:firstColumn="1" w:firstRow="1" w:lastColumn="0" w:lastRow="0" w:noHBand="0" w:noVBand="1" w:val="04A0"/>
      </w:tblPr>
      <w:tblGrid>
        <w:gridCol w:w="9412"/>
      </w:tblGrid>
      <w:tr>
        <w:tc>
          <w:tcPr>
            <w:tcW w:type="dxa" w:w="9411"/>
            <w:shd w:val="clear" w:color="auto" w:fill="FBEAE7"/>
            <w:tcBorders>
              <w:top w:val="nil"/>
              <w:left w:val="single" w:sz="24" w:color="C0392B"/>
              <w:bottom w:val="nil"/>
              <w:right w:val="nil"/>
            </w:tcBorders>
            <w:tcMar>
              <w:top w:w="120" w:type="dxa"/>
              <w:left w:w="180" w:type="dxa"/>
              <w:bottom w:w="120" w:type="dxa"/>
              <w:right w:w="180" w:type="dxa"/>
            </w:tcMar>
          </w:tcPr>
          <w:p>
            <w:pPr>
              <w:spacing w:after="0"/>
              <w:jc w:val="both"/>
            </w:pPr>
            <w:r>
              <w:rPr>
                <w:b/>
                <w:color w:val="3A3A3C"/>
                <w:sz w:val="20"/>
              </w:rPr>
              <w:t xml:space="preserve">NOT YET LIVE.  </w:t>
            </w:r>
            <w:r>
              <w:rPr>
                <w:color w:val="3A3A3C"/>
                <w:sz w:val="20"/>
              </w:rPr>
              <w:t>This version must not be issued to an applicant until Nick Jackson has confirmed legal sign-off and Propertymark (Lucy Wymer) has completed external verification. Once approved this notice is removed and the document becomes live at v1.2.</w:t>
            </w:r>
          </w:p>
        </w:tc>
      </w:tr>
    </w:tbl>
    <w:p>
      <w:pPr>
        <w:spacing w:after="40"/>
      </w:pPr>
    </w:p>
    <w:p>
      <w:pPr>
        <w:keepNext/>
        <w:spacing w:before="280" w:after="80"/>
        <w:jc w:val="left"/>
      </w:pPr>
      <w:r>
        <w:rPr>
          <w:b/>
          <w:color w:val="EF7601"/>
          <w:sz w:val="26"/>
        </w:rPr>
        <w:t>1. Purpose of this Agreement</w:t>
      </w:r>
    </w:p>
    <w:p>
      <w:r>
        <w:rPr>
          <w:i w:val="0"/>
          <w:sz w:val="22"/>
        </w:rPr>
        <w:t>This Agreement sets out the terms on which Mistoria Estate Agents Bolton Ltd or Mistoria Estate Agents Liverpool Ltd, as identified above (“Mistoria”), acting as letting agent, accepts a holding deposit from a prospective tenant (the “Applicant”) to reserve the property described below (the “Property”), pending completion of referencing, Right to Rent and other pre-tenancy checks.</w:t>
      </w:r>
    </w:p>
    <w:p>
      <w:r>
        <w:rPr>
          <w:i w:val="0"/>
          <w:sz w:val="22"/>
        </w:rPr>
        <w:t>This holding deposit is taken in accordance with Schedule 1 to the Tenant Fees Act 2019 (permitted payment) and is administered in accordance with Schedule 2 to that Act (treatment, retention and repayment of holding deposits).</w:t>
      </w:r>
    </w:p>
    <w:p>
      <w:pPr>
        <w:keepNext/>
        <w:spacing w:before="280" w:after="80"/>
        <w:jc w:val="left"/>
      </w:pPr>
      <w:r>
        <w:rPr>
          <w:b/>
          <w:color w:val="EF7601"/>
          <w:sz w:val="26"/>
        </w:rPr>
        <w:t>2. Property and Applicant details</w:t>
      </w:r>
    </w:p>
    <w:tbl>
      <w:tblPr>
        <w:tblW w:type="auto" w:w="0"/>
        <w:jc w:val="center"/>
        <w:tblLayout w:type="fixed"/>
        <w:tblLook w:firstColumn="1" w:firstRow="1" w:lastColumn="0" w:lastRow="0" w:noHBand="0" w:noVBand="1" w:val="04A0"/>
      </w:tblPr>
      <w:tblGrid>
        <w:gridCol w:w="3061"/>
        <w:gridCol w:w="6350"/>
      </w:tblGrid>
      <w:tr>
        <w:tc>
          <w:tcPr>
            <w:tcW w:type="dxa" w:w="3061"/>
            <w:shd w:val="clear" w:color="auto" w:fill="EF7601"/>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jc w:val="left"/>
            </w:pPr>
            <w:r>
              <w:rPr>
                <w:b/>
                <w:color w:val="FFFFFF"/>
                <w:sz w:val="19"/>
              </w:rPr>
              <w:t>Detail</w:t>
            </w:r>
          </w:p>
        </w:tc>
        <w:tc>
          <w:tcPr>
            <w:tcW w:type="dxa" w:w="6350"/>
            <w:shd w:val="clear" w:color="auto" w:fill="EF7601"/>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jc w:val="left"/>
            </w:pPr>
            <w:r>
              <w:rPr>
                <w:b/>
                <w:color w:val="FFFFFF"/>
                <w:sz w:val="19"/>
              </w:rPr>
              <w:t>To be completed when the holding deposit is taken</w:t>
            </w:r>
          </w:p>
        </w:tc>
      </w:tr>
      <w:tr>
        <w:tc>
          <w:tcPr>
            <w:tcW w:type="dxa" w:w="3061"/>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Issuing branch and contracting entity</w:t>
            </w:r>
          </w:p>
        </w:tc>
        <w:tc>
          <w:tcPr>
            <w:tcW w:type="dxa" w:w="6350"/>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  Mistoria Estate Agents Bolton Ltd, Company No. 08861569, 108–110 Deansgate, Bolton, BL1 1BD</w:t>
              <w:br/>
              <w:t>☐  Mistoria Estate Agents Liverpool Ltd, Company No. 05454463, Moffat House, 22 Pall Mall, Liverpool, L3 6AL</w:t>
            </w:r>
          </w:p>
        </w:tc>
      </w:tr>
      <w:tr>
        <w:tc>
          <w:tcPr>
            <w:tcW w:type="dxa" w:w="3061"/>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Applicant name(s)</w:t>
            </w:r>
          </w:p>
        </w:tc>
        <w:tc>
          <w:tcPr>
            <w:tcW w:type="dxa" w:w="6350"/>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r>
          </w:p>
        </w:tc>
      </w:tr>
      <w:tr>
        <w:tc>
          <w:tcPr>
            <w:tcW w:type="dxa" w:w="3061"/>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Property address</w:t>
            </w:r>
          </w:p>
        </w:tc>
        <w:tc>
          <w:tcPr>
            <w:tcW w:type="dxa" w:w="6350"/>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r>
          </w:p>
        </w:tc>
      </w:tr>
      <w:tr>
        <w:tc>
          <w:tcPr>
            <w:tcW w:type="dxa" w:w="3061"/>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Agreed rent (per calendar month)</w:t>
            </w:r>
          </w:p>
        </w:tc>
        <w:tc>
          <w:tcPr>
            <w:tcW w:type="dxa" w:w="6350"/>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r>
          </w:p>
        </w:tc>
      </w:tr>
      <w:tr>
        <w:tc>
          <w:tcPr>
            <w:tcW w:type="dxa" w:w="3061"/>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Weekly rent equivalent (annual rent ÷ 52)</w:t>
            </w:r>
          </w:p>
        </w:tc>
        <w:tc>
          <w:tcPr>
            <w:tcW w:type="dxa" w:w="6350"/>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r>
          </w:p>
        </w:tc>
      </w:tr>
      <w:tr>
        <w:tc>
          <w:tcPr>
            <w:tcW w:type="dxa" w:w="3061"/>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Holding deposit amount</w:t>
            </w:r>
          </w:p>
        </w:tc>
        <w:tc>
          <w:tcPr>
            <w:tcW w:type="dxa" w:w="6350"/>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r>
          </w:p>
        </w:tc>
      </w:tr>
      <w:tr>
        <w:tc>
          <w:tcPr>
            <w:tcW w:type="dxa" w:w="3061"/>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Date holding deposit received</w:t>
            </w:r>
          </w:p>
        </w:tc>
        <w:tc>
          <w:tcPr>
            <w:tcW w:type="dxa" w:w="6350"/>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r>
          </w:p>
        </w:tc>
      </w:tr>
      <w:tr>
        <w:tc>
          <w:tcPr>
            <w:tcW w:type="dxa" w:w="3061"/>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Deadline for agreement</w:t>
            </w:r>
          </w:p>
        </w:tc>
        <w:tc>
          <w:tcPr>
            <w:tcW w:type="dxa" w:w="6350"/>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r>
          </w:p>
        </w:tc>
      </w:tr>
    </w:tbl>
    <w:p>
      <w:pPr>
        <w:spacing w:after="40"/>
      </w:pPr>
    </w:p>
    <w:p>
      <w:r>
        <w:rPr>
          <w:i w:val="0"/>
          <w:sz w:val="22"/>
        </w:rPr>
        <w:t>The holding deposit taken under this Agreement will not exceed one week’s rent, calculated in accordance with Schedule 1, paragraph 2 of the Tenant Fees Act 2019 — annual rent divided by 52. Mistoria will not hold more than one holding deposit on the Property at any one time.</w:t>
      </w:r>
    </w:p>
    <w:tbl>
      <w:tblPr>
        <w:tblW w:type="auto" w:w="0"/>
        <w:jc w:val="center"/>
        <w:tblLook w:firstColumn="1" w:firstRow="1" w:lastColumn="0" w:lastRow="0" w:noHBand="0" w:noVBand="1" w:val="04A0"/>
      </w:tblPr>
      <w:tblGrid>
        <w:gridCol w:w="9412"/>
      </w:tblGrid>
      <w:tr>
        <w:tc>
          <w:tcPr>
            <w:tcW w:type="dxa" w:w="9411"/>
            <w:shd w:val="clear" w:color="auto" w:fill="F2F2F3"/>
            <w:tcBorders>
              <w:top w:val="nil"/>
              <w:left w:val="single" w:sz="24" w:color="95969B"/>
              <w:bottom w:val="nil"/>
              <w:right w:val="nil"/>
            </w:tcBorders>
            <w:tcMar>
              <w:top w:w="120" w:type="dxa"/>
              <w:left w:w="180" w:type="dxa"/>
              <w:bottom w:w="120" w:type="dxa"/>
              <w:right w:w="180" w:type="dxa"/>
            </w:tcMar>
          </w:tcPr>
          <w:p>
            <w:pPr>
              <w:spacing w:after="0"/>
              <w:jc w:val="both"/>
            </w:pPr>
            <w:r>
              <w:rPr>
                <w:b/>
                <w:color w:val="3A3A3C"/>
                <w:sz w:val="20"/>
              </w:rPr>
              <w:t xml:space="preserve">Entity identification.  </w:t>
            </w:r>
            <w:r>
              <w:rPr>
                <w:color w:val="3A3A3C"/>
                <w:sz w:val="20"/>
              </w:rPr>
              <w:t>The contracting entity is the branch company ticked at Section 2. Both Bolton and Liverpool are separate registered companies, so the tick is not administrative — it identifies the party the applicant is contracting with and the party that holds the money. ⚖ Company numbers to be verified against Companies House before this version is issued.</w:t>
            </w:r>
          </w:p>
        </w:tc>
      </w:tr>
    </w:tbl>
    <w:p>
      <w:pPr>
        <w:spacing w:after="40"/>
      </w:pPr>
    </w:p>
    <w:p>
      <w:pPr>
        <w:keepNext/>
        <w:spacing w:before="280" w:after="80"/>
        <w:jc w:val="left"/>
      </w:pPr>
      <w:r>
        <w:rPr>
          <w:b/>
          <w:color w:val="EF7601"/>
          <w:sz w:val="26"/>
        </w:rPr>
        <w:t>3. Tenant-side and landlord-side position</w:t>
      </w:r>
    </w:p>
    <w:p>
      <w:r>
        <w:rPr>
          <w:i w:val="0"/>
          <w:sz w:val="22"/>
        </w:rPr>
        <w:t>The holding deposit is a tenant-side payment only. It is not a fee for Mistoria’s services and is not retained by Mistoria as income. Any tenant-find or letting fee due to Mistoria is charged separately to the landlord under the management agreement and is not charged to the Applicant.</w:t>
      </w:r>
    </w:p>
    <w:p>
      <w:pPr>
        <w:keepNext/>
        <w:spacing w:before="280" w:after="80"/>
        <w:jc w:val="left"/>
      </w:pPr>
      <w:r>
        <w:rPr>
          <w:b/>
          <w:color w:val="EF7601"/>
          <w:sz w:val="26"/>
        </w:rPr>
        <w:t>4. Deadline for agreement</w:t>
      </w:r>
    </w:p>
    <w:p>
      <w:r>
        <w:rPr>
          <w:i w:val="0"/>
          <w:sz w:val="22"/>
        </w:rPr>
        <w:t>The deadline for agreement is 15 calendar days from the date Mistoria receives the holding deposit in cleared funds, unless Mistoria and the Applicant agree in writing to a longer period. Either party may propose an extension; it takes effect only once agreed in writing by both parties, and only if agreed before the original deadline passes.</w:t>
      </w:r>
    </w:p>
    <w:p>
      <w:r>
        <w:rPr>
          <w:i w:val="0"/>
          <w:sz w:val="22"/>
        </w:rPr>
        <w:t>The Property will be withdrawn from the market during this period, and referencing, Right to Rent and other pre-tenancy checks will be carried out.</w:t>
      </w:r>
    </w:p>
    <w:p>
      <w:pPr>
        <w:keepNext/>
        <w:spacing w:before="280" w:after="80"/>
        <w:jc w:val="left"/>
      </w:pPr>
      <w:r>
        <w:rPr>
          <w:b/>
          <w:color w:val="EF7601"/>
          <w:sz w:val="26"/>
        </w:rPr>
        <w:t>5. What happens next — outcome routes</w:t>
      </w:r>
    </w:p>
    <w:p>
      <w:pPr>
        <w:pStyle w:val="ListBullet"/>
        <w:spacing w:line="276" w:lineRule="auto" w:after="60"/>
        <w:jc w:val="both"/>
      </w:pPr>
      <w:r>
        <w:rPr>
          <w:b/>
          <w:color w:val="3A3A3C"/>
          <w:sz w:val="22"/>
        </w:rPr>
        <w:t xml:space="preserve">A — Proceed to tenancy. </w:t>
      </w:r>
      <w:r>
        <w:rPr>
          <w:color w:val="3A3A3C"/>
          <w:sz w:val="22"/>
        </w:rPr>
        <w:t>If the checks are satisfactory and the tenancy proceeds, the holding deposit is credited toward the Applicant’s first month’s rent. It is not credited toward the tenancy deposit. The tenancy deposit remains payable in full and separately, as set out in Section 6.</w:t>
      </w:r>
    </w:p>
    <w:p>
      <w:pPr>
        <w:pStyle w:val="ListBullet"/>
        <w:spacing w:line="276" w:lineRule="auto" w:after="60"/>
        <w:jc w:val="both"/>
      </w:pPr>
      <w:r>
        <w:rPr>
          <w:b/>
          <w:color w:val="3A3A3C"/>
          <w:sz w:val="22"/>
        </w:rPr>
        <w:t xml:space="preserve">B — Repayment. </w:t>
      </w:r>
      <w:r>
        <w:rPr>
          <w:color w:val="3A3A3C"/>
          <w:sz w:val="22"/>
        </w:rPr>
        <w:t>If the landlord withdraws, if Mistoria decides not to proceed, or if the deadline for agreement passes without an agreement being reached through no fault of the Applicant, the holding deposit is repaid in full within 7 days, with written confirmation issued to the Applicant.</w:t>
      </w:r>
    </w:p>
    <w:p>
      <w:pPr>
        <w:pStyle w:val="ListBullet"/>
        <w:spacing w:line="276" w:lineRule="auto" w:after="60"/>
        <w:jc w:val="both"/>
      </w:pPr>
      <w:r>
        <w:rPr>
          <w:b/>
          <w:color w:val="3A3A3C"/>
          <w:sz w:val="22"/>
        </w:rPr>
        <w:t xml:space="preserve">C — Retention (Applicant withdraws). </w:t>
      </w:r>
      <w:r>
        <w:rPr>
          <w:color w:val="3A3A3C"/>
          <w:sz w:val="22"/>
        </w:rPr>
        <w:t>If the Applicant decides not to proceed, or does not take all reasonable steps to enter into the tenancy where Mistoria and the landlord have done so, Mistoria may retain the holding deposit. The Applicant will receive written confirmation of the reason within 7 days of that decision.</w:t>
      </w:r>
    </w:p>
    <w:p>
      <w:pPr>
        <w:pStyle w:val="ListBullet"/>
        <w:spacing w:line="276" w:lineRule="auto" w:after="60"/>
        <w:jc w:val="both"/>
      </w:pPr>
      <w:r>
        <w:rPr>
          <w:b/>
          <w:color w:val="3A3A3C"/>
          <w:sz w:val="22"/>
        </w:rPr>
        <w:t xml:space="preserve">D — Retention (lawful reason). </w:t>
      </w:r>
      <w:r>
        <w:rPr>
          <w:color w:val="3A3A3C"/>
          <w:sz w:val="22"/>
        </w:rPr>
        <w:t>Mistoria may retain the holding deposit where the Applicant provides false or misleading information that Mistoria or the landlord is reasonably entitled to take into account in deciding whether to grant the tenancy, or where the Applicant fails the Right to Rent check. The Applicant will receive written confirmation of the reason within 7 days of that decision.</w:t>
      </w:r>
    </w:p>
    <w:tbl>
      <w:tblPr>
        <w:tblW w:type="auto" w:w="0"/>
        <w:jc w:val="center"/>
        <w:tblLook w:firstColumn="1" w:firstRow="1" w:lastColumn="0" w:lastRow="0" w:noHBand="0" w:noVBand="1" w:val="04A0"/>
      </w:tblPr>
      <w:tblGrid>
        <w:gridCol w:w="9412"/>
      </w:tblGrid>
      <w:tr>
        <w:tc>
          <w:tcPr>
            <w:tcW w:type="dxa" w:w="9411"/>
            <w:shd w:val="clear" w:color="auto" w:fill="F2F2F3"/>
            <w:tcBorders>
              <w:top w:val="nil"/>
              <w:left w:val="single" w:sz="24" w:color="95969B"/>
              <w:bottom w:val="nil"/>
              <w:right w:val="nil"/>
            </w:tcBorders>
            <w:tcMar>
              <w:top w:w="120" w:type="dxa"/>
              <w:left w:w="180" w:type="dxa"/>
              <w:bottom w:w="120" w:type="dxa"/>
              <w:right w:w="180" w:type="dxa"/>
            </w:tcMar>
          </w:tcPr>
          <w:p>
            <w:pPr>
              <w:spacing w:after="0"/>
              <w:jc w:val="both"/>
            </w:pPr>
            <w:r>
              <w:rPr>
                <w:b/>
                <w:color w:val="3A3A3C"/>
                <w:sz w:val="20"/>
              </w:rPr>
              <w:t xml:space="preserve">Internal control — not shown to the Applicant.  </w:t>
            </w:r>
            <w:r>
              <w:rPr>
                <w:color w:val="3A3A3C"/>
                <w:sz w:val="20"/>
              </w:rPr>
              <w:t>No holding deposit may be retained under Outcome C or D without a documented, specific factual reason, supporting evidence on file, and Branch Manager approval recorded in writing before the retention letter is issued. If in doubt, repay within 7 days. See Holding Deposit Policy MHS-LET-HD-POL-01, section 5.1.</w:t>
            </w:r>
          </w:p>
        </w:tc>
      </w:tr>
    </w:tbl>
    <w:p>
      <w:pPr>
        <w:spacing w:after="40"/>
      </w:pPr>
    </w:p>
    <w:p>
      <w:pPr>
        <w:keepNext/>
        <w:spacing w:before="280" w:after="80"/>
        <w:jc w:val="left"/>
      </w:pPr>
      <w:r>
        <w:rPr>
          <w:b/>
          <w:color w:val="EF7601"/>
          <w:sz w:val="26"/>
        </w:rPr>
        <w:t>6. What is payable at move-in</w:t>
      </w:r>
    </w:p>
    <w:p>
      <w:r>
        <w:rPr>
          <w:i w:val="0"/>
          <w:sz w:val="22"/>
        </w:rPr>
        <w:t>If the tenancy proceeds, the holding deposit reduces the first month’s rent only. The tenancy deposit is a separate payment and is not reduced or offset by the holding deposit.</w:t>
      </w:r>
    </w:p>
    <w:tbl>
      <w:tblPr>
        <w:tblW w:type="auto" w:w="0"/>
        <w:jc w:val="center"/>
        <w:tblLayout w:type="fixed"/>
        <w:tblLook w:firstColumn="1" w:firstRow="1" w:lastColumn="0" w:lastRow="0" w:noHBand="0" w:noVBand="1" w:val="04A0"/>
      </w:tblPr>
      <w:tblGrid>
        <w:gridCol w:w="3628"/>
        <w:gridCol w:w="5783"/>
      </w:tblGrid>
      <w:tr>
        <w:tc>
          <w:tcPr>
            <w:tcW w:type="dxa" w:w="3628"/>
            <w:shd w:val="clear" w:color="auto" w:fill="EF7601"/>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jc w:val="left"/>
            </w:pPr>
            <w:r>
              <w:rPr>
                <w:b/>
                <w:color w:val="FFFFFF"/>
                <w:sz w:val="19"/>
              </w:rPr>
              <w:t>Payable at move-in</w:t>
            </w:r>
          </w:p>
        </w:tc>
        <w:tc>
          <w:tcPr>
            <w:tcW w:type="dxa" w:w="5783"/>
            <w:shd w:val="clear" w:color="auto" w:fill="EF7601"/>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jc w:val="left"/>
            </w:pPr>
            <w:r>
              <w:rPr>
                <w:b/>
                <w:color w:val="FFFFFF"/>
                <w:sz w:val="19"/>
              </w:rPr>
              <w:t>Amount</w:t>
            </w:r>
          </w:p>
        </w:tc>
      </w:tr>
      <w:tr>
        <w:tc>
          <w:tcPr>
            <w:tcW w:type="dxa" w:w="3628"/>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First month’s rent</w:t>
            </w:r>
          </w:p>
        </w:tc>
        <w:tc>
          <w:tcPr>
            <w:tcW w:type="dxa" w:w="5783"/>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The full monthly rent, less the holding deposit already credited</w:t>
            </w:r>
          </w:p>
        </w:tc>
      </w:tr>
      <w:tr>
        <w:tc>
          <w:tcPr>
            <w:tcW w:type="dxa" w:w="3628"/>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Tenancy deposit</w:t>
            </w:r>
          </w:p>
        </w:tc>
        <w:tc>
          <w:tcPr>
            <w:tcW w:type="dxa" w:w="5783"/>
            <w:shd w:val="clear" w:color="auto" w:fill="FFFFFF"/>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The full amount stated in the tenancy agreement, not reduced by the holding deposit</w:t>
            </w:r>
          </w:p>
        </w:tc>
      </w:tr>
    </w:tbl>
    <w:p>
      <w:pPr>
        <w:spacing w:after="40"/>
      </w:pPr>
    </w:p>
    <w:p>
      <w:r>
        <w:rPr>
          <w:i w:val="0"/>
          <w:sz w:val="22"/>
        </w:rPr>
        <w:t>The tenancy deposit will be protected in a government-approved scheme within 30 days of receipt, and the prescribed information will be served on the Applicant, and on anyone who paid any part of the deposit on the Applicant’s behalf, within the same period.</w:t>
      </w:r>
    </w:p>
    <w:p>
      <w:r>
        <w:rPr>
          <w:i w:val="0"/>
          <w:sz w:val="22"/>
        </w:rPr>
        <w:t>Mistoria will not ask the Applicant to pay any rent before the tenancy agreement has been entered into, and will not require more than one month’s rent in advance.</w:t>
      </w:r>
    </w:p>
    <w:p>
      <w:pPr>
        <w:keepNext/>
        <w:spacing w:before="280" w:after="80"/>
        <w:jc w:val="left"/>
      </w:pPr>
      <w:r>
        <w:rPr>
          <w:b/>
          <w:color w:val="EF7601"/>
          <w:sz w:val="26"/>
        </w:rPr>
        <w:t>7. Notice of retention</w:t>
      </w:r>
    </w:p>
    <w:p>
      <w:r>
        <w:rPr>
          <w:i w:val="0"/>
          <w:sz w:val="22"/>
        </w:rPr>
        <w:t>If Mistoria decides not to enter into a tenancy with the Applicant and intends to retain some or all of the holding deposit, Mistoria will notify the Applicant in writing of the reason within 7 days of that decision being made.</w:t>
      </w:r>
    </w:p>
    <w:p>
      <w:pPr>
        <w:keepNext/>
        <w:spacing w:before="280" w:after="80"/>
        <w:jc w:val="left"/>
      </w:pPr>
      <w:r>
        <w:rPr>
          <w:b/>
          <w:color w:val="EF7601"/>
          <w:sz w:val="26"/>
        </w:rPr>
        <w:t>8. Applicant declarations</w:t>
      </w:r>
    </w:p>
    <w:p>
      <w:pPr>
        <w:pStyle w:val="ListBullet"/>
        <w:spacing w:line="276" w:lineRule="auto" w:after="60"/>
        <w:jc w:val="both"/>
      </w:pPr>
      <w:r>
        <w:rPr>
          <w:color w:val="3A3A3C"/>
          <w:sz w:val="22"/>
        </w:rPr>
        <w:t>I/we confirm that all information provided in connection with this application is true and accurate.</w:t>
      </w:r>
    </w:p>
    <w:p>
      <w:pPr>
        <w:pStyle w:val="ListBullet"/>
        <w:spacing w:line="276" w:lineRule="auto" w:after="60"/>
        <w:jc w:val="both"/>
      </w:pPr>
      <w:r>
        <w:rPr>
          <w:color w:val="3A3A3C"/>
          <w:sz w:val="22"/>
        </w:rPr>
        <w:t>I/we consent to Mistoria carrying out referencing, credit, Right to Rent and identity checks for the purposes of this application.</w:t>
      </w:r>
    </w:p>
    <w:p>
      <w:pPr>
        <w:pStyle w:val="ListBullet"/>
        <w:spacing w:line="276" w:lineRule="auto" w:after="60"/>
        <w:jc w:val="both"/>
      </w:pPr>
      <w:r>
        <w:rPr>
          <w:color w:val="3A3A3C"/>
          <w:sz w:val="22"/>
        </w:rPr>
        <w:t>I/we consent that, if the tenancy proceeds, the holding deposit will be credited toward the first month’s rent, as set out in Section 5, Outcome A. I/we understand that the tenancy deposit is a separate payment and is not reduced by the holding deposit.</w:t>
      </w:r>
    </w:p>
    <w:p>
      <w:pPr>
        <w:pStyle w:val="ListBullet"/>
        <w:spacing w:line="276" w:lineRule="auto" w:after="60"/>
        <w:jc w:val="both"/>
      </w:pPr>
      <w:r>
        <w:rPr>
          <w:color w:val="3A3A3C"/>
          <w:sz w:val="22"/>
        </w:rPr>
        <w:t>I/we understand that if I/we do not give the consent above, the holding deposit will be repaid within 7 days of the tenancy being entered into and the first month’s rent will be payable in full.</w:t>
      </w:r>
    </w:p>
    <w:p>
      <w:pPr>
        <w:pStyle w:val="ListBullet"/>
        <w:spacing w:line="276" w:lineRule="auto" w:after="60"/>
        <w:jc w:val="both"/>
      </w:pPr>
      <w:r>
        <w:rPr>
          <w:color w:val="3A3A3C"/>
          <w:sz w:val="22"/>
        </w:rPr>
        <w:t>I/we understand that personal data provided will be processed in accordance with Mistoria’s privacy notice and UK data protection law, and used only for the purposes of this application.</w:t>
      </w:r>
    </w:p>
    <w:p>
      <w:pPr>
        <w:keepNext/>
        <w:spacing w:before="280" w:after="80"/>
        <w:jc w:val="left"/>
      </w:pPr>
      <w:r>
        <w:rPr>
          <w:b/>
          <w:color w:val="EF7601"/>
          <w:sz w:val="26"/>
        </w:rPr>
        <w:t>9. Signatures</w:t>
      </w:r>
    </w:p>
    <w:tbl>
      <w:tblPr>
        <w:tblW w:type="auto" w:w="0"/>
        <w:jc w:val="center"/>
        <w:tblLayout w:type="fixed"/>
        <w:tblLook w:firstColumn="1" w:firstRow="1" w:lastColumn="0" w:lastRow="0" w:noHBand="0" w:noVBand="1" w:val="04A0"/>
      </w:tblPr>
      <w:tblGrid>
        <w:gridCol w:w="4706"/>
        <w:gridCol w:w="4706"/>
      </w:tblGrid>
      <w:tr>
        <w:tc>
          <w:tcPr>
            <w:tcW w:type="dxa" w:w="4706"/>
            <w:shd w:val="clear" w:color="auto" w:fill="EF7601"/>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jc w:val="left"/>
            </w:pPr>
            <w:r>
              <w:rPr>
                <w:b/>
                <w:color w:val="FFFFFF"/>
                <w:sz w:val="19"/>
              </w:rPr>
              <w:t>Signed for the Applicant</w:t>
            </w:r>
          </w:p>
        </w:tc>
        <w:tc>
          <w:tcPr>
            <w:tcW w:type="dxa" w:w="4706"/>
            <w:shd w:val="clear" w:color="auto" w:fill="EF7601"/>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jc w:val="left"/>
            </w:pPr>
            <w:r>
              <w:rPr>
                <w:b/>
                <w:color w:val="FFFFFF"/>
                <w:sz w:val="19"/>
              </w:rPr>
              <w:t>Signed for Mistoria Estate Agents</w:t>
            </w:r>
          </w:p>
        </w:tc>
      </w:tr>
      <w:tr>
        <w:tc>
          <w:tcPr>
            <w:tcW w:type="dxa" w:w="4706"/>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Signature:  ______________________________</w:t>
              <w:br/>
              <w:br/>
              <w:t>Print name:  ______________________________</w:t>
              <w:br/>
              <w:br/>
              <w:t>Date:  ______________________________</w:t>
            </w:r>
          </w:p>
        </w:tc>
        <w:tc>
          <w:tcPr>
            <w:tcW w:type="dxa" w:w="4706"/>
            <w:shd w:val="clear" w:color="auto" w:fill="F2F2F3"/>
            <w:tcBorders>
              <w:top w:val="single" w:sz="4" w:color="FFFFFF"/>
              <w:left w:val="single" w:sz="4" w:color="FFFFFF"/>
              <w:bottom w:val="single" w:sz="4" w:color="FFFFFF"/>
              <w:right w:val="single" w:sz="4" w:color="FFFFFF"/>
            </w:tcBorders>
            <w:tcMar>
              <w:top w:w="100" w:type="dxa"/>
              <w:left w:w="140" w:type="dxa"/>
              <w:bottom w:w="100" w:type="dxa"/>
              <w:right w:w="140" w:type="dxa"/>
            </w:tcMar>
          </w:tcPr>
          <w:p>
            <w:pPr>
              <w:spacing w:after="40" w:line="252" w:lineRule="auto"/>
              <w:jc w:val="left"/>
            </w:pPr>
            <w:r>
              <w:rPr>
                <w:b w:val="0"/>
                <w:color w:val="3A3A3C"/>
                <w:sz w:val="19"/>
              </w:rPr>
              <w:t>Signature:  ______________________________</w:t>
              <w:br/>
              <w:br/>
              <w:t>Print name:  ______________________________</w:t>
              <w:br/>
              <w:br/>
              <w:t>Position:  ______________________________</w:t>
              <w:br/>
              <w:br/>
              <w:t>Date:  ______________________________</w:t>
            </w:r>
          </w:p>
        </w:tc>
      </w:tr>
    </w:tbl>
    <w:p>
      <w:pPr>
        <w:spacing w:after="40"/>
      </w:pPr>
    </w:p>
    <w:p>
      <w:r>
        <w:rPr>
          <w:i w:val="0"/>
          <w:color w:val="95969B"/>
          <w:sz w:val="16"/>
        </w:rPr>
        <w:t>Mistoria Estate Agents Bolton Ltd, Company No. 08861569  |  Mistoria Estate Agents Liverpool Ltd, Company No. 05454463  |  mistoriagroup.com</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5969B"/>
        <w:sz w:val="16"/>
      </w:rPr>
      <w:t xml:space="preserve">Mistoria Estate Agents · Bolton Co. No. 08861569 · Liverpool Co. No. 05454463   ·   Page </w:t>
    </w:r>
    <w:r>
      <w:rPr>
        <w:color w:val="95969B"/>
        <w:sz w:val="16"/>
      </w:rPr>
      <w:fldChar w:fldCharType="begin"/>
    </w:r>
    <w:r>
      <w:rPr>
        <w:color w:val="95969B"/>
        <w:sz w:val="16"/>
      </w:rPr>
      <w:instrText xml:space="preserve">PAGE</w:instrText>
    </w:r>
    <w:r>
      <w:rPr>
        <w:color w:val="95969B"/>
        <w:sz w:val="16"/>
      </w:rPr>
      <w:fldChar w:fldCharType="end"/>
    </w:r>
    <w:r>
      <w:rPr>
        <w:color w:val="95969B"/>
        <w:sz w:val="16"/>
      </w:rPr>
      <w:t xml:space="preserve"> of </w:t>
    </w:r>
    <w:r>
      <w:rPr>
        <w:color w:val="95969B"/>
        <w:sz w:val="16"/>
      </w:rPr>
      <w:fldChar w:fldCharType="begin"/>
    </w:r>
    <w:r>
      <w:rPr>
        <w:color w:val="95969B"/>
        <w:sz w:val="16"/>
      </w:rPr>
      <w:instrText xml:space="preserve">NUMPAGES</w:instrText>
    </w:r>
    <w:r>
      <w:rPr>
        <w:color w:val="95969B"/>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95969B"/>
        <w:sz w:val="16"/>
      </w:rPr>
      <w:t>Holding Deposit Agreement · MEA-LET-HD-01 · v1.1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jc w:val="both"/>
    </w:pPr>
    <w:rPr>
      <w:rFonts w:ascii="Calibri" w:hAnsi="Calibri"/>
      <w:color w:val="3A3A3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